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ОБЩЕСТВО С ОГРАНИЧЕННОЙ ОТВЕТСТВЕННОСТЬЮ «ТОРГОВЫЙ ДОМ ЗОДЧИЙ»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Style w:val="685"/>
      </w:pPr>
      <w:r>
        <w:rPr>
          <w:b/>
          <w:bCs/>
        </w:rPr>
        <w:t xml:space="preserve">ОГРН:</w:t>
      </w:r>
      <w:r>
        <w:t xml:space="preserve"> 1086501006173, </w:t>
      </w:r>
      <w:r>
        <w:rPr>
          <w:b/>
          <w:bCs/>
        </w:rPr>
        <w:t xml:space="preserve">ИНН:</w:t>
      </w:r>
      <w:r>
        <w:t xml:space="preserve"> 6501197140</w:t>
      </w:r>
      <w:r/>
    </w:p>
    <w:p>
      <w:pPr>
        <w:pStyle w:val="685"/>
      </w:pPr>
      <w:r>
        <w:rPr>
          <w:b/>
          <w:bCs/>
        </w:rPr>
        <w:t xml:space="preserve">Адрес:</w:t>
      </w:r>
      <w:r>
        <w:t xml:space="preserve"> 693004, г. Южно-Сахалинск, ул. Железнодорожная, 168/2</w:t>
      </w:r>
      <w:r/>
    </w:p>
    <w:p>
      <w:pPr>
        <w:pStyle w:val="685"/>
      </w:pPr>
      <w:r>
        <w:rPr>
          <w:b/>
          <w:bCs/>
        </w:rPr>
        <w:t xml:space="preserve">УТВЕРЖДЕНО</w:t>
      </w:r>
      <w:r/>
    </w:p>
    <w:p>
      <w:pPr>
        <w:pStyle w:val="685"/>
      </w:pPr>
      <w:r>
        <w:t xml:space="preserve">Приказом генерального директора</w:t>
      </w:r>
      <w:r/>
    </w:p>
    <w:p>
      <w:pPr>
        <w:pStyle w:val="685"/>
      </w:pPr>
      <w:r>
        <w:t xml:space="preserve">ООО «ТД ЗОДЧИЙ»</w:t>
      </w:r>
      <w:r/>
    </w:p>
    <w:p>
      <w:pPr>
        <w:pStyle w:val="685"/>
      </w:pPr>
      <w:r>
        <w:t xml:space="preserve">от «01» сентября 2026 г. № </w:t>
      </w:r>
      <w:r>
        <w:t xml:space="preserve">______________</w:t>
      </w:r>
      <w:r/>
    </w:p>
    <w:p>
      <w:pPr>
        <w:pStyle w:val="674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74"/>
        <w:rPr>
          <w:sz w:val="24"/>
          <w:szCs w:val="24"/>
        </w:rPr>
      </w:pPr>
      <w:r>
        <w:rPr>
          <w:sz w:val="24"/>
          <w:szCs w:val="24"/>
        </w:rPr>
        <w:t xml:space="preserve">ПРАВИЛА УЧАСТИЯ В БОНУСНОЙ ПРОГРАММЕ ЛОЯЛЬНОСТИ «ЗОДЧИЙ ЧЕМПИОН»</w:t>
      </w:r>
      <w:r>
        <w:rPr>
          <w:sz w:val="24"/>
          <w:szCs w:val="24"/>
        </w:rPr>
      </w:r>
    </w:p>
    <w:p>
      <w:pPr>
        <w:pStyle w:val="685"/>
      </w:pPr>
      <w:r>
        <w:rPr>
          <w:i/>
          <w:iCs/>
        </w:rPr>
        <w:t xml:space="preserve">(Редакция от 01 сентября 2026 года, вступает в силу с 01 сентября 2026 года)</w:t>
      </w:r>
      <w:r/>
    </w:p>
    <w:p>
      <w:pPr>
        <w:pStyle w:val="675"/>
        <w:rPr>
          <w:sz w:val="24"/>
          <w:szCs w:val="24"/>
        </w:rPr>
      </w:pPr>
      <w:r>
        <w:rPr>
          <w:sz w:val="24"/>
          <w:szCs w:val="24"/>
        </w:rPr>
        <w:t xml:space="preserve">1. Общие положения</w:t>
      </w:r>
      <w:r>
        <w:rPr>
          <w:sz w:val="24"/>
          <w:szCs w:val="24"/>
        </w:rPr>
      </w:r>
    </w:p>
    <w:p>
      <w:pPr>
        <w:pStyle w:val="685"/>
      </w:pPr>
      <w:r>
        <w:rPr>
          <w:b/>
          <w:bCs/>
        </w:rPr>
        <w:t xml:space="preserve">1.1.</w:t>
      </w:r>
      <w:r>
        <w:t xml:space="preserve"> Настоящие Правила определяют порядок и условия участия в Бонусн</w:t>
      </w:r>
      <w:r>
        <w:t xml:space="preserve">ой программе лояльности «Зодчий Чемпион» (далее — «Программа») и регулируют отношения, возникающие между Организатором Программы и Участником. Настоящие Правила являются публичной офертой в соответствии со ст. 437 Гражданского кодекса Российской Федерации.</w:t>
      </w:r>
      <w:r/>
    </w:p>
    <w:p>
      <w:pPr>
        <w:pStyle w:val="685"/>
      </w:pPr>
      <w:r>
        <w:rPr>
          <w:b/>
          <w:bCs/>
        </w:rPr>
        <w:t xml:space="preserve">1.2.</w:t>
      </w:r>
      <w:r>
        <w:t xml:space="preserve"> Программа является бессрочной. Организатор вправе прекратить или изменить Программу в порядке, предусмотренном разделом 7 настоящих Правил.</w:t>
      </w:r>
      <w:r/>
    </w:p>
    <w:p>
      <w:pPr>
        <w:pStyle w:val="685"/>
      </w:pPr>
      <w:r>
        <w:rPr>
          <w:b/>
          <w:bCs/>
        </w:rPr>
        <w:t xml:space="preserve">Пункт 1.3</w:t>
      </w:r>
      <w:r>
        <w:t xml:space="preserve"> Место проведения Программы:</w:t>
      </w:r>
      <w:r/>
    </w:p>
    <w:p>
      <w:pPr>
        <w:pStyle w:val="685"/>
        <w:numPr>
          <w:ilvl w:val="0"/>
          <w:numId w:val="25"/>
        </w:numPr>
      </w:pPr>
      <w:r>
        <w:t xml:space="preserve">гипермаркет «Зодчий»: 693004, г. Южно-Сахалинск, ул. Железнодорожная, 168/2;</w:t>
      </w:r>
      <w:r/>
    </w:p>
    <w:p>
      <w:pPr>
        <w:pStyle w:val="685"/>
        <w:numPr>
          <w:ilvl w:val="0"/>
          <w:numId w:val="25"/>
        </w:numPr>
      </w:pPr>
      <w:r>
        <w:t xml:space="preserve">супермаркет «Зодчий»: 693023, г. Южно-Сахалинск, ул. Комсомольская, 247Б;</w:t>
      </w:r>
      <w:r/>
    </w:p>
    <w:p>
      <w:pPr>
        <w:pStyle w:val="685"/>
        <w:numPr>
          <w:ilvl w:val="0"/>
          <w:numId w:val="25"/>
        </w:numPr>
      </w:pPr>
      <w:r>
        <w:t xml:space="preserve">офисы продаж: г. Долинск, ул. Хабаровская, 14; г. Поронайск, ул. Победы, 11; г. Холмск, ул. Советская, 122 литер А; г. Невельск, ул. Советская, 8; г. Корсаков, ул. Октябрьская, 13;</w:t>
      </w:r>
      <w:r/>
    </w:p>
    <w:p>
      <w:pPr>
        <w:pStyle w:val="675"/>
        <w:rPr>
          <w:sz w:val="24"/>
          <w:szCs w:val="24"/>
        </w:rPr>
      </w:pPr>
      <w:r>
        <w:rPr>
          <w:sz w:val="24"/>
          <w:szCs w:val="24"/>
        </w:rPr>
        <w:t xml:space="preserve">2. Термины и определения</w:t>
      </w:r>
      <w:r>
        <w:rPr>
          <w:sz w:val="24"/>
          <w:szCs w:val="24"/>
        </w:rPr>
      </w:r>
    </w:p>
    <w:p>
      <w:pPr>
        <w:pStyle w:val="685"/>
        <w:numPr>
          <w:ilvl w:val="0"/>
          <w:numId w:val="19"/>
        </w:numPr>
      </w:pPr>
      <w:r>
        <w:rPr>
          <w:b/>
          <w:bCs/>
        </w:rPr>
        <w:t xml:space="preserve">«Программа»</w:t>
      </w:r>
      <w:r>
        <w:t xml:space="preserve"> — маркетинговая программа потребительской лояльности, при участии в которой Участник, приобретающий товары в магазинах Организатора, приобретает право на получение привилегий (скидок) в соответствии с настоящими Правилами.</w:t>
      </w:r>
      <w:r/>
    </w:p>
    <w:p>
      <w:pPr>
        <w:pStyle w:val="685"/>
        <w:numPr>
          <w:ilvl w:val="0"/>
          <w:numId w:val="19"/>
        </w:numPr>
      </w:pPr>
      <w:r>
        <w:rPr>
          <w:b/>
          <w:bCs/>
        </w:rPr>
        <w:t xml:space="preserve">«Организатор программы» («Зодчий»)</w:t>
      </w:r>
      <w:r>
        <w:t xml:space="preserve"> — Общество с ограниченной ответственностью «Торговый Дом Зодчий», ОГРН 1086501006173, ИНН 6501197140, место нахождения: 693004, г. Южно-Сахалинск, ул. Железнодорожная, 168/2.</w:t>
      </w:r>
      <w:r/>
    </w:p>
    <w:p>
      <w:pPr>
        <w:pStyle w:val="685"/>
        <w:numPr>
          <w:ilvl w:val="0"/>
          <w:numId w:val="19"/>
        </w:numPr>
      </w:pPr>
      <w:r>
        <w:rPr>
          <w:b/>
          <w:bCs/>
        </w:rPr>
        <w:t xml:space="preserve">«Участник программы» («Участник»)</w:t>
      </w:r>
      <w:r>
        <w:t xml:space="preserve"> —</w:t>
      </w:r>
      <w:r>
        <w:t xml:space="preserve"> дееспособное физическое лицо, достигшее 14 лет (при наличии согласия законных представителей) и зарегистрированное в Программе в соответствии с настоящими Правилами.</w:t>
      </w:r>
      <w:r/>
    </w:p>
    <w:p>
      <w:pPr>
        <w:pStyle w:val="685"/>
        <w:numPr>
          <w:ilvl w:val="0"/>
          <w:numId w:val="19"/>
        </w:numPr>
      </w:pPr>
      <w:r>
        <w:rPr>
          <w:b/>
          <w:bCs/>
        </w:rPr>
        <w:t xml:space="preserve">«Карта»</w:t>
      </w:r>
      <w:r>
        <w:t xml:space="preserve"> — персональное средство идентификации Участника в Программе, представленное в виде пластиковой карты с уникальным идентификатором либо электронной записи в учетной системе Организатора, п</w:t>
      </w:r>
      <w:r>
        <w:t xml:space="preserve">ривязанной к номеру мобильного телефона Участника. Карта не требует обязательного физического носителя при совершении покупок и идентифицируется по номеру мобильного телефона, указанному в Анкете при регистрации. Карта является собственностью Организатора.</w:t>
      </w:r>
      <w:r/>
    </w:p>
    <w:p>
      <w:pPr>
        <w:pStyle w:val="685"/>
        <w:numPr>
          <w:ilvl w:val="0"/>
          <w:numId w:val="19"/>
        </w:numPr>
      </w:pPr>
      <w:r>
        <w:rPr>
          <w:b/>
          <w:bCs/>
        </w:rPr>
        <w:t xml:space="preserve">«</w:t>
      </w:r>
      <w:r>
        <w:rPr>
          <w:b/>
          <w:bCs/>
        </w:rPr>
        <w:t xml:space="preserve">Фиксированная цена</w:t>
      </w:r>
      <w:r>
        <w:rPr>
          <w:b/>
          <w:bCs/>
        </w:rPr>
        <w:t xml:space="preserve">»</w:t>
      </w:r>
      <w:r>
        <w:t xml:space="preserve"> — специальная ценовая акция Организатора, при которой товар маркируется на ценнике информацией «Бонусы: нет» либо «Скидка не распространяется». В отно</w:t>
      </w:r>
      <w:r>
        <w:t xml:space="preserve">шении таких товаров действует полный запрет на участие в Программе: Бонусные баллы не начисляются и не принимаются к списанию. Отсутствие указанной маркировки на ценнике лишает Организатора права ссылаться на данное исключение в отношении конкретного чека.</w:t>
      </w:r>
      <w:r/>
    </w:p>
    <w:p>
      <w:pPr>
        <w:pStyle w:val="685"/>
        <w:numPr>
          <w:ilvl w:val="0"/>
          <w:numId w:val="19"/>
        </w:numPr>
      </w:pPr>
      <w:r>
        <w:rPr>
          <w:b/>
          <w:bCs/>
        </w:rPr>
        <w:t xml:space="preserve">«Магазины Зодчий»</w:t>
      </w:r>
      <w:r>
        <w:t xml:space="preserve"> — розничные торговые объекты Организатора, перечисленные в п. 1.3 настоящих Правил.</w:t>
      </w:r>
      <w:r/>
    </w:p>
    <w:p>
      <w:pPr>
        <w:pStyle w:val="685"/>
        <w:numPr>
          <w:ilvl w:val="0"/>
          <w:numId w:val="19"/>
        </w:numPr>
      </w:pPr>
      <w:r>
        <w:rPr>
          <w:b/>
          <w:bCs/>
        </w:rPr>
        <w:t xml:space="preserve">«Бонусные баллы»</w:t>
      </w:r>
      <w:r>
        <w:t xml:space="preserve"> — ус</w:t>
      </w:r>
      <w:r>
        <w:t xml:space="preserve">ловные маркетинговые единицы, начисляемые на бонусный счет Участника при покупке товаров, дающие право на получение скидки в соответствии с настоящими Правилами. Бонусные баллы не имеют наличного денежного эквивалента и не подлежат выдаче в денежной форме.</w:t>
      </w:r>
      <w:r/>
    </w:p>
    <w:p>
      <w:pPr>
        <w:pStyle w:val="685"/>
        <w:numPr>
          <w:ilvl w:val="0"/>
          <w:numId w:val="19"/>
        </w:numPr>
      </w:pPr>
      <w:r>
        <w:rPr>
          <w:b/>
          <w:bCs/>
        </w:rPr>
        <w:t xml:space="preserve">«Активные Бонусные баллы»</w:t>
      </w:r>
      <w:r>
        <w:t xml:space="preserve"> — начисленные Бонусные баллы, прошедшие активацию в соответствии с п. 4.4.2 настоящих Правил и доступные для списания.</w:t>
      </w:r>
      <w:r/>
    </w:p>
    <w:p>
      <w:pPr>
        <w:pStyle w:val="685"/>
        <w:numPr>
          <w:ilvl w:val="0"/>
          <w:numId w:val="19"/>
        </w:numPr>
      </w:pPr>
      <w:r>
        <w:rPr>
          <w:b/>
          <w:bCs/>
        </w:rPr>
        <w:t xml:space="preserve">«Единый контакт-центр»</w:t>
      </w:r>
      <w:r>
        <w:t xml:space="preserve"> — служба клиентской поддержки: 8-800-100-7171, +7 (4242) 300-027, +7 (4242) 300-072; адрес электронной почты: </w:t>
      </w:r>
      <w:hyperlink r:id="rId9" w:tooltip="mailto:ruk_marketing@zodchiy.org" w:history="1">
        <w:r>
          <w:rPr>
            <w:rStyle w:val="683"/>
            <w:rFonts w:eastAsiaTheme="majorEastAsia"/>
          </w:rPr>
          <w:t xml:space="preserve">ruk_marketing@zodchiy.</w:t>
        </w:r>
        <w:r>
          <w:rPr>
            <w:rStyle w:val="683"/>
            <w:rFonts w:eastAsiaTheme="majorEastAsia"/>
            <w:lang w:val="en-US"/>
          </w:rPr>
          <w:t xml:space="preserve">org</w:t>
        </w:r>
      </w:hyperlink>
      <w:r>
        <w:t xml:space="preserve"> </w:t>
      </w:r>
      <w:r/>
    </w:p>
    <w:p>
      <w:pPr>
        <w:pStyle w:val="675"/>
        <w:rPr>
          <w:sz w:val="24"/>
          <w:szCs w:val="24"/>
        </w:rPr>
      </w:pPr>
      <w:r>
        <w:rPr>
          <w:sz w:val="24"/>
          <w:szCs w:val="24"/>
        </w:rPr>
        <w:t xml:space="preserve">3. Регистрация в Программе</w:t>
      </w:r>
      <w:r>
        <w:rPr>
          <w:sz w:val="24"/>
          <w:szCs w:val="24"/>
        </w:rPr>
      </w:r>
    </w:p>
    <w:p>
      <w:pPr>
        <w:pStyle w:val="685"/>
      </w:pPr>
      <w:r>
        <w:rPr>
          <w:b/>
          <w:bCs/>
        </w:rPr>
        <w:t xml:space="preserve">3.1.</w:t>
      </w:r>
      <w:r>
        <w:t xml:space="preserve"> Регистрация в Программе производится уполномоченными сотрудниками Организатора исключительно на стойке</w:t>
      </w:r>
      <w:r>
        <w:t xml:space="preserve"> информации в розничных магазинах «Зодчий» на основании письменной Анкеты Участника (далее — «Анкета»), подписанной заявителем лично. При регистрации Участник указывает фамилию, имя, отчество, контактный номер мобильного телефона и адрес электронной почты.</w:t>
      </w:r>
      <w:r/>
    </w:p>
    <w:p>
      <w:pPr>
        <w:pStyle w:val="685"/>
      </w:pPr>
      <w:r>
        <w:t xml:space="preserve">Подписание Анкеты является обязательным условием участия и подтверждает согласие Участника с на</w:t>
      </w:r>
      <w:r>
        <w:t xml:space="preserve">стоящими Правилами и согласие на обработку персональных данных в целях реализации Программы. Согласие на получение рекламно-информационных рассылок выражается Участником добровольно путем проставления отдельной отметки в специально отведенной графе Анкеты.</w:t>
      </w:r>
      <w:r/>
    </w:p>
    <w:p>
      <w:pPr>
        <w:pStyle w:val="685"/>
      </w:pPr>
      <w:r>
        <w:rPr>
          <w:b/>
          <w:bCs/>
        </w:rPr>
        <w:t xml:space="preserve">3.2.</w:t>
      </w:r>
      <w:r>
        <w:t xml:space="preserve"> Активация Карты и завершение регистрации в информационной системе осуществляются в течен</w:t>
      </w:r>
      <w:r>
        <w:t xml:space="preserve">ие 2 (двух) рабочих дней со дня передачи подписанного бланка Анкеты уполномоченному сотруднику стойки информации. Участник считается зарегистрированным с момента присвоения ему уникального номера Карты и привязки его к номеру мобильного телефона в системе.</w:t>
      </w:r>
      <w:r/>
    </w:p>
    <w:p>
      <w:pPr>
        <w:pStyle w:val="685"/>
      </w:pPr>
      <w:r>
        <w:rPr>
          <w:b/>
          <w:bCs/>
        </w:rPr>
        <w:t xml:space="preserve">3.3.</w:t>
      </w:r>
      <w:r>
        <w:t xml:space="preserve"> С момента регистрации Участник самостоятельно обеспечивает актуальность своих персо</w:t>
      </w:r>
      <w:r>
        <w:t xml:space="preserve">нальных данных. Участник вправе скорректировать свои данные, обратившись с письменным заявлением на стойку информации в любой розничный магазин Организатора (при предъявлении документа, удостоверяющего личность) либо направив заявление с подтвержденного e-</w:t>
      </w:r>
      <w:r>
        <w:t xml:space="preserve">mail</w:t>
      </w:r>
      <w:r>
        <w:t xml:space="preserve"> адреса на </w:t>
      </w:r>
      <w:r>
        <w:rPr>
          <w:rStyle w:val="686"/>
          <w:rFonts w:ascii="Times New Roman" w:hAnsi="Times New Roman" w:cs="Times New Roman" w:eastAsiaTheme="majorEastAsia"/>
          <w:sz w:val="24"/>
          <w:szCs w:val="24"/>
        </w:rPr>
        <w:t xml:space="preserve">ruk_marketing@zodchiy.com</w:t>
      </w:r>
      <w:r>
        <w:t xml:space="preserve">.</w:t>
      </w:r>
      <w:r/>
    </w:p>
    <w:p>
      <w:pPr>
        <w:pStyle w:val="685"/>
      </w:pPr>
      <w:r>
        <w:rPr>
          <w:b/>
          <w:bCs/>
        </w:rPr>
        <w:t xml:space="preserve">3.4.</w:t>
      </w:r>
      <w:r>
        <w:t xml:space="preserve"> В случае указания</w:t>
      </w:r>
      <w:r>
        <w:t xml:space="preserve"> недостоверных сведений о себе, а также при несвоевременном уведомлении об их изменении, Участник самостоятельно несет риск связанных с этим неблагоприятных последствий (включая невозможность списания баллов или отправку сообщений по устаревшим контактам).</w:t>
      </w:r>
      <w:r/>
    </w:p>
    <w:p>
      <w:pPr>
        <w:pStyle w:val="685"/>
      </w:pPr>
      <w:r>
        <w:rPr>
          <w:b/>
          <w:bCs/>
        </w:rPr>
        <w:t xml:space="preserve">3.5.</w:t>
      </w:r>
      <w:r>
        <w:t xml:space="preserve"> До момента передачи подписанной Анкеты и завершения регистрации списание Бонусных баллов при оплате товаров не производится (начисление баллов может производиться по предъявленной Карте или номеру телефона).</w:t>
      </w:r>
      <w:r/>
    </w:p>
    <w:p>
      <w:pPr>
        <w:pStyle w:val="675"/>
        <w:rPr>
          <w:sz w:val="24"/>
          <w:szCs w:val="24"/>
        </w:rPr>
      </w:pPr>
      <w:r>
        <w:rPr>
          <w:sz w:val="24"/>
          <w:szCs w:val="24"/>
        </w:rPr>
        <w:t xml:space="preserve">4. Начисление Бонусных баллов</w:t>
      </w:r>
      <w:r>
        <w:rPr>
          <w:sz w:val="24"/>
          <w:szCs w:val="24"/>
        </w:rPr>
      </w:r>
    </w:p>
    <w:p>
      <w:pPr>
        <w:pStyle w:val="685"/>
      </w:pPr>
      <w:r>
        <w:rPr>
          <w:b/>
          <w:bCs/>
        </w:rPr>
        <w:t xml:space="preserve">4.1.</w:t>
      </w:r>
      <w:r>
        <w:t xml:space="preserve"> Бонусные баллы начисляются при каждой покупке товаров Участником в розничных Магазинах Зодчий при условии идентификации Карты на кассе до момента закрытия чека (путем предъявления пластиковой Карты или сообщения привязанного номера телефона).</w:t>
      </w:r>
      <w:r/>
    </w:p>
    <w:p>
      <w:pPr>
        <w:pStyle w:val="685"/>
      </w:pPr>
      <w:r>
        <w:rPr>
          <w:b/>
          <w:bCs/>
        </w:rPr>
        <w:t xml:space="preserve">4.2.</w:t>
      </w:r>
      <w:r>
        <w:t xml:space="preserve"> Бонусные баллы начисляются исключительно</w:t>
      </w:r>
      <w:r>
        <w:t xml:space="preserve"> на стоимость товара, фактически оплаченную денежными средствами (в том числе наличными, банковской картой или с использованием подарочных сертификатов), после применения всех скидок. На сумму чека, оплаченную Бонусными баллами, начисление не производится.</w:t>
      </w:r>
      <w:r/>
    </w:p>
    <w:p>
      <w:pPr>
        <w:pStyle w:val="685"/>
      </w:pPr>
      <w:r>
        <w:rPr>
          <w:b/>
          <w:bCs/>
        </w:rPr>
        <w:t xml:space="preserve">4.3. Бонусные баллы не начисляются за оплату следующих позиций:</w:t>
      </w:r>
      <w:r/>
    </w:p>
    <w:p>
      <w:pPr>
        <w:pStyle w:val="685"/>
        <w:numPr>
          <w:ilvl w:val="0"/>
          <w:numId w:val="20"/>
        </w:numPr>
      </w:pPr>
      <w:r>
        <w:t xml:space="preserve">оплата любых видов услуг (доставка, колеровка, распил, подъем на этаж и др.);</w:t>
      </w:r>
      <w:r/>
    </w:p>
    <w:p>
      <w:pPr>
        <w:pStyle w:val="685"/>
        <w:numPr>
          <w:ilvl w:val="0"/>
          <w:numId w:val="20"/>
        </w:numPr>
      </w:pPr>
      <w:r>
        <w:t xml:space="preserve">приобретение подарочных сертификатов;</w:t>
      </w:r>
      <w:r/>
    </w:p>
    <w:p>
      <w:pPr>
        <w:pStyle w:val="685"/>
        <w:numPr>
          <w:ilvl w:val="0"/>
          <w:numId w:val="20"/>
        </w:numPr>
      </w:pPr>
      <w:r>
        <w:t xml:space="preserve">оплата уцененных товаров;</w:t>
      </w:r>
      <w:r/>
    </w:p>
    <w:p>
      <w:pPr>
        <w:pStyle w:val="685"/>
        <w:numPr>
          <w:ilvl w:val="0"/>
          <w:numId w:val="20"/>
        </w:numPr>
      </w:pPr>
      <w:r>
        <w:t xml:space="preserve">товары со статусом «</w:t>
      </w:r>
      <w:r>
        <w:t xml:space="preserve">Фиксированная цена</w:t>
      </w:r>
      <w:r>
        <w:t xml:space="preserve">».</w:t>
      </w:r>
      <w:r/>
    </w:p>
    <w:p>
      <w:pPr>
        <w:pStyle w:val="685"/>
      </w:pPr>
      <w:r>
        <w:rPr>
          <w:b/>
          <w:bCs/>
        </w:rPr>
        <w:t xml:space="preserve">4.4. Размер и сроки начисления:</w:t>
      </w:r>
      <w:r/>
    </w:p>
    <w:p>
      <w:pPr>
        <w:pStyle w:val="685"/>
      </w:pPr>
      <w:r>
        <w:rPr>
          <w:b/>
          <w:bCs/>
        </w:rPr>
        <w:t xml:space="preserve">4.4.1.</w:t>
      </w:r>
      <w:r>
        <w:t xml:space="preserve"> Размер базового начисления составляет </w:t>
      </w:r>
      <w:r>
        <w:rPr>
          <w:b/>
          <w:bCs/>
        </w:rPr>
        <w:t xml:space="preserve">2% (два процента)</w:t>
      </w:r>
      <w:r>
        <w:t xml:space="preserve"> от фактически оплаченной денежными средствами стоимости каждого отдельного приобретенного товара (за исключением позиций, указанных в п. 4.3).</w:t>
      </w:r>
      <w:r/>
    </w:p>
    <w:p>
      <w:pPr>
        <w:pStyle w:val="685"/>
      </w:pPr>
      <w:r>
        <w:rPr>
          <w:b/>
          <w:bCs/>
        </w:rPr>
        <w:t xml:space="preserve">4.4.2.</w:t>
      </w:r>
      <w:r>
        <w:t xml:space="preserve"> Бонусные баллы начисляются на бонусный счет Участника и становятся доступными для использования (переходят в статус Активных) </w:t>
      </w:r>
      <w:r>
        <w:rPr>
          <w:b/>
          <w:bCs/>
        </w:rPr>
        <w:t xml:space="preserve">в течение 2 (двух) календарных дней</w:t>
      </w:r>
      <w:r>
        <w:t xml:space="preserve"> с даты 100% оплаты покупки.</w:t>
      </w:r>
      <w:r/>
    </w:p>
    <w:p>
      <w:pPr>
        <w:pStyle w:val="685"/>
      </w:pPr>
      <w:r>
        <w:rPr>
          <w:b/>
          <w:bCs/>
        </w:rPr>
        <w:t xml:space="preserve">4.5.</w:t>
      </w:r>
      <w:r>
        <w:t xml:space="preserve"> Списание Бонусных баллов не суммируется с условиями промо-акций: Участник применяет либо Бонусные баллы, либо условия </w:t>
      </w:r>
      <w:r>
        <w:t xml:space="preserve">скидочной</w:t>
      </w:r>
      <w:r>
        <w:t xml:space="preserve"> акции (</w:t>
      </w:r>
      <w:r>
        <w:t xml:space="preserve">промокоды</w:t>
      </w:r>
      <w:r>
        <w:t xml:space="preserve">, </w:t>
      </w:r>
      <w:r>
        <w:t xml:space="preserve">спеццены</w:t>
      </w:r>
      <w:r>
        <w:t xml:space="preserve">). При этом ни одна рекламная акция не может устанавливать иной порядок начисления, если это прямо не предусмотрено правилами соответствующей акции.</w:t>
      </w:r>
      <w:r/>
    </w:p>
    <w:p>
      <w:pPr>
        <w:pStyle w:val="685"/>
      </w:pPr>
      <w:r>
        <w:rPr>
          <w:b/>
          <w:bCs/>
        </w:rPr>
        <w:t xml:space="preserve">4.6.</w:t>
      </w:r>
      <w:r>
        <w:t xml:space="preserve"> Актуальное состояние баланса Бонусных баллов Участник может узнать у кассиров, на стойке информации в магазинах «Зодчий» либо через Единый контакт-центр.</w:t>
      </w:r>
      <w:r/>
    </w:p>
    <w:p>
      <w:pPr>
        <w:pStyle w:val="675"/>
        <w:rPr>
          <w:sz w:val="24"/>
          <w:szCs w:val="24"/>
        </w:rPr>
      </w:pPr>
      <w:r>
        <w:rPr>
          <w:sz w:val="24"/>
          <w:szCs w:val="24"/>
        </w:rPr>
        <w:t xml:space="preserve">5. Порядок использования (списания) и сгорания Бонусных баллов</w:t>
      </w:r>
      <w:r>
        <w:rPr>
          <w:sz w:val="24"/>
          <w:szCs w:val="24"/>
        </w:rPr>
      </w:r>
    </w:p>
    <w:p>
      <w:pPr>
        <w:pStyle w:val="685"/>
      </w:pPr>
      <w:r>
        <w:rPr>
          <w:b/>
          <w:bCs/>
        </w:rPr>
        <w:t xml:space="preserve">5.1.</w:t>
      </w:r>
      <w:r>
        <w:t xml:space="preserve"> Участник может использовать Бонусные баллы для получения скидки при оплате товаров. 1 (один) Бонусный балл равен скидке в размере 1 (один) рубль РФ.</w:t>
      </w:r>
      <w:r/>
    </w:p>
    <w:p>
      <w:pPr>
        <w:pStyle w:val="685"/>
      </w:pPr>
      <w:r>
        <w:rPr>
          <w:b/>
          <w:bCs/>
        </w:rPr>
        <w:t xml:space="preserve">5.2.</w:t>
      </w:r>
      <w:r>
        <w:t xml:space="preserve"> При каждой покупке (в одном чеке) единовременно списывается </w:t>
      </w:r>
      <w:r>
        <w:rPr>
          <w:b/>
          <w:bCs/>
        </w:rPr>
        <w:t xml:space="preserve">до 30% (тридцать процентов) от текущего количества активных бонусных баллов</w:t>
      </w:r>
      <w:r>
        <w:t xml:space="preserve">, имеющихся на счёте Участника на момент расчёта. При расчете суммы списания округление производится в меньшую сторону до целого числа (в пользу Участника).</w:t>
      </w:r>
      <w:r/>
    </w:p>
    <w:p>
      <w:pPr>
        <w:pStyle w:val="685"/>
      </w:pPr>
      <w:r>
        <w:rPr>
          <w:b/>
          <w:bCs/>
        </w:rPr>
        <w:t xml:space="preserve">5.3.</w:t>
      </w:r>
      <w:r>
        <w:t xml:space="preserve"> Списание Бонусных баллов производится исключительно в момент оплаты товаров на кассе до закрытия кассового чека. Для списания баллов Участник обязан предъявить Карту либо назвать подтвержденный номер телефона.</w:t>
      </w:r>
      <w:r/>
    </w:p>
    <w:p>
      <w:pPr>
        <w:pStyle w:val="685"/>
      </w:pPr>
      <w:r>
        <w:rPr>
          <w:b/>
          <w:bCs/>
        </w:rPr>
        <w:t xml:space="preserve">5.4. Бонусными баллами не могут быть оплачены следующие товары и услуги:</w:t>
      </w:r>
      <w:r/>
    </w:p>
    <w:p>
      <w:pPr>
        <w:pStyle w:val="685"/>
        <w:numPr>
          <w:ilvl w:val="0"/>
          <w:numId w:val="22"/>
        </w:numPr>
      </w:pPr>
      <w:r>
        <w:t xml:space="preserve">подарочные сертификаты;</w:t>
      </w:r>
      <w:r/>
    </w:p>
    <w:p>
      <w:pPr>
        <w:pStyle w:val="685"/>
        <w:numPr>
          <w:ilvl w:val="0"/>
          <w:numId w:val="22"/>
        </w:numPr>
      </w:pPr>
      <w:r>
        <w:t xml:space="preserve">услуги любого вида;</w:t>
      </w:r>
      <w:r/>
    </w:p>
    <w:p>
      <w:pPr>
        <w:pStyle w:val="685"/>
        <w:numPr>
          <w:ilvl w:val="0"/>
          <w:numId w:val="22"/>
        </w:numPr>
      </w:pPr>
      <w:r>
        <w:t xml:space="preserve">товары со статусом «</w:t>
      </w:r>
      <w:r>
        <w:t xml:space="preserve">Фиксированная цена</w:t>
      </w:r>
      <w:r>
        <w:t xml:space="preserve">»;</w:t>
      </w:r>
      <w:r/>
    </w:p>
    <w:p>
      <w:pPr>
        <w:pStyle w:val="685"/>
        <w:numPr>
          <w:ilvl w:val="0"/>
          <w:numId w:val="22"/>
        </w:numPr>
      </w:pPr>
      <w:r>
        <w:t xml:space="preserve">товары/услуги, в отношении которых Организатором введены временные ограничения в соответствии с п. 5.5.</w:t>
      </w:r>
      <w:r/>
    </w:p>
    <w:p>
      <w:pPr>
        <w:pStyle w:val="685"/>
      </w:pPr>
      <w:r>
        <w:rPr>
          <w:b/>
          <w:bCs/>
        </w:rPr>
        <w:t xml:space="preserve">5.5.</w:t>
      </w:r>
      <w:r>
        <w:t xml:space="preserve"> Организатор по своему усмотрению вправе устанавливать перечень товаров, на которые вводятся временные ограничения по списанию Бонусных баллов, с заблаговременным информированием покупателей на стойках информации и на официальном сайте.</w:t>
      </w:r>
      <w:r/>
    </w:p>
    <w:p>
      <w:pPr>
        <w:pStyle w:val="685"/>
      </w:pPr>
      <w:r>
        <w:rPr>
          <w:b/>
          <w:bCs/>
        </w:rPr>
        <w:t xml:space="preserve">5.6.</w:t>
      </w:r>
      <w:r>
        <w:t xml:space="preserve"> Если сумма Бонусных баллов списана не полностью, неиспользованный остаток баллов сохраняется на бонусном счете и остается доступным для списания при последующих покупках в течение установленного срока их действия.</w:t>
      </w:r>
      <w:r/>
    </w:p>
    <w:p>
      <w:pPr>
        <w:pStyle w:val="685"/>
      </w:pPr>
      <w:r>
        <w:rPr>
          <w:b/>
          <w:bCs/>
        </w:rPr>
        <w:t xml:space="preserve">5.7. Порядок возврата товаров:</w:t>
      </w:r>
      <w:r/>
    </w:p>
    <w:p>
      <w:pPr>
        <w:pStyle w:val="685"/>
      </w:pPr>
      <w:r>
        <w:rPr>
          <w:b/>
          <w:bCs/>
        </w:rPr>
        <w:t xml:space="preserve">5.7.1.</w:t>
      </w:r>
      <w:r>
        <w:t xml:space="preserve"> </w:t>
      </w:r>
      <w:r>
        <w:t xml:space="preserve">При возврате товара, оплаченного денежными средствами, начисленные з</w:t>
      </w:r>
      <w:r>
        <w:t xml:space="preserve">а данную покупку Бонусные баллы списываются с бонусного счета Участника в течение 2 (двух) рабочих дней с даты оформления возврата. В случае если начисленные баллы уже были использованы Участником к моменту возврата товара, с бонусного счета списывается фа</w:t>
      </w:r>
      <w:r>
        <w:t xml:space="preserve">ктически имеющийся остаток баллов, а при его недостаточности баланс бонусного счета обнуляется. Списание последующих начислений в счет погашения отрицательного остатка не производится, если иное не связано с доказанными мошенническими действиями Участника.</w:t>
      </w:r>
      <w:r/>
    </w:p>
    <w:p>
      <w:pPr>
        <w:pStyle w:val="685"/>
      </w:pPr>
      <w:r>
        <w:rPr>
          <w:b/>
          <w:bCs/>
        </w:rPr>
        <w:t xml:space="preserve">5.7.2.</w:t>
      </w:r>
      <w:r>
        <w:t xml:space="preserve"> </w:t>
      </w:r>
      <w:r>
        <w:t xml:space="preserve">При возврате товара, оплаченного с применением Бонусных баллов, денежные средства возвращаются Участнику в фактически уплаченном денежном объеме, а фактически списанные за возвращенный </w:t>
      </w:r>
      <w:r>
        <w:t xml:space="preserve">товар Бонусные баллы восстанавливаются на бонусном счете Участника. В случае, если на момент оформления возврата товара срок действия списанных Бонусных баллов (согласно п. 5.8) уже истек, такие баллы восстанавливаются на счете Участника с новым сроком дей</w:t>
      </w:r>
      <w:r>
        <w:t xml:space="preserve">ствия, составляющим 365 (триста шестьдесят пять) календарных дней с даты их фактического возврата на счет. В случае возврата части покупки возврат денежных средств и баллов производится пропорционально стоимости возвращаемого товара к общей стоимости чека.</w:t>
      </w:r>
      <w:r/>
    </w:p>
    <w:p>
      <w:pPr>
        <w:pStyle w:val="685"/>
      </w:pPr>
      <w:r>
        <w:rPr>
          <w:b/>
          <w:bCs/>
        </w:rPr>
        <w:t xml:space="preserve">5.8.</w:t>
      </w:r>
      <w:r>
        <w:t xml:space="preserve"> Срок действия Бонусных баллов составляет </w:t>
      </w:r>
      <w:r>
        <w:rPr>
          <w:b/>
          <w:bCs/>
        </w:rPr>
        <w:t xml:space="preserve">365 (триста шестьдесят пять) календарных дней</w:t>
      </w:r>
      <w:r>
        <w:t xml:space="preserve"> со дня их зачисления и активации (п. 4.4.2), за исключением баллов, начисленных в рамках целевых Рекламных акций, срок действия которых определяется индивидуальными условиями таких акций.</w:t>
      </w:r>
      <w:r/>
    </w:p>
    <w:p>
      <w:pPr>
        <w:pStyle w:val="685"/>
      </w:pPr>
      <w:r>
        <w:rPr>
          <w:b/>
          <w:bCs/>
        </w:rPr>
        <w:t xml:space="preserve">5.9.</w:t>
      </w:r>
      <w:r>
        <w:t xml:space="preserve"> По истечении установленного срока неиспользованные Бонусные баллы автоматически сгорают и восстановлению не подлежат, кроме случаев проведения Организатором специальных маркетинговых акций по восстановлению баллов.</w:t>
      </w:r>
      <w:r/>
    </w:p>
    <w:p>
      <w:pPr>
        <w:pStyle w:val="685"/>
      </w:pPr>
      <w:r>
        <w:rPr>
          <w:b/>
          <w:bCs/>
        </w:rPr>
        <w:t xml:space="preserve">5.10.</w:t>
      </w:r>
      <w:r>
        <w:t xml:space="preserve"> Бонусные баллы не подлежат обмену на наличные или безналичные денежные средства.</w:t>
      </w:r>
      <w:r/>
    </w:p>
    <w:p>
      <w:pPr>
        <w:pStyle w:val="685"/>
      </w:pPr>
      <w:r>
        <w:rPr>
          <w:b/>
          <w:bCs/>
        </w:rPr>
        <w:t xml:space="preserve">5.11.</w:t>
      </w:r>
      <w:r>
        <w:t xml:space="preserve"> Участник не вправе дарить, продавать, уступать, передавать в залог либо иным образом отчуждать Бонусные баллы третьим лицам.</w:t>
      </w:r>
      <w:r/>
    </w:p>
    <w:p>
      <w:pPr>
        <w:pStyle w:val="685"/>
      </w:pPr>
      <w:r>
        <w:rPr>
          <w:b/>
          <w:bCs/>
        </w:rPr>
        <w:t xml:space="preserve">5.12.</w:t>
      </w:r>
      <w:r>
        <w:t xml:space="preserve"> В рамках расчета по одному кассовому чеку может быть применена только одна Карта.</w:t>
      </w:r>
      <w:r/>
    </w:p>
    <w:p>
      <w:pPr>
        <w:pStyle w:val="675"/>
        <w:rPr>
          <w:sz w:val="24"/>
          <w:szCs w:val="24"/>
        </w:rPr>
      </w:pPr>
      <w:r>
        <w:rPr>
          <w:sz w:val="24"/>
          <w:szCs w:val="24"/>
        </w:rPr>
        <w:t xml:space="preserve">6. Получение информации и персональные данные</w:t>
      </w:r>
      <w:r>
        <w:rPr>
          <w:sz w:val="24"/>
          <w:szCs w:val="24"/>
        </w:rPr>
      </w:r>
    </w:p>
    <w:p>
      <w:pPr>
        <w:pStyle w:val="685"/>
      </w:pPr>
      <w:r>
        <w:rPr>
          <w:b/>
          <w:bCs/>
        </w:rPr>
        <w:t xml:space="preserve">6.1.</w:t>
      </w:r>
      <w:r>
        <w:t xml:space="preserve"> Обработка персональных данных Участников осуществляется Организатором в строгом соответствии с Федеральным законом от 27.07.2006 № 152-ФЗ «О персональных данных» в целях предоставления привилегий и исполнения настоящих Правил.</w:t>
      </w:r>
      <w:r/>
    </w:p>
    <w:p>
      <w:pPr>
        <w:pStyle w:val="685"/>
      </w:pPr>
      <w:r>
        <w:rPr>
          <w:b/>
          <w:bCs/>
        </w:rPr>
        <w:t xml:space="preserve">6.2.</w:t>
      </w:r>
      <w:r>
        <w:t xml:space="preserve"> </w:t>
      </w:r>
      <w:r>
        <w:t xml:space="preserve">Получение рекламно-информационных материалов носит исключительно добровольный характер. Согласие выражается Участником путем проставления отдельной подписи либо отметки в соответствующей графе бумажной Анкеты при регистрации на стойке информации</w:t>
      </w:r>
      <w:r>
        <w:t xml:space="preserve">.</w:t>
      </w:r>
      <w:r/>
    </w:p>
    <w:p>
      <w:pPr>
        <w:pStyle w:val="685"/>
      </w:pPr>
      <w:r>
        <w:rPr>
          <w:b/>
          <w:bCs/>
        </w:rPr>
        <w:t xml:space="preserve">6.3.</w:t>
      </w:r>
      <w:r>
        <w:t xml:space="preserve"> Участник вправе в любое время отказаться от получения рекламных уведомлений, обратившись на стойку информации любого магазина сети, позвонив по телефону Единого контакт-центра либо направив отказ на адрес </w:t>
      </w:r>
      <w:r>
        <w:rPr>
          <w:rStyle w:val="686"/>
          <w:rFonts w:ascii="Times New Roman" w:hAnsi="Times New Roman" w:cs="Times New Roman" w:eastAsiaTheme="majorEastAsia"/>
          <w:sz w:val="24"/>
          <w:szCs w:val="24"/>
        </w:rPr>
        <w:t xml:space="preserve">ruk_marketing@zodchiy.com</w:t>
      </w:r>
      <w:r>
        <w:t xml:space="preserve">.</w:t>
      </w:r>
      <w:r/>
    </w:p>
    <w:p>
      <w:pPr>
        <w:pStyle w:val="685"/>
      </w:pPr>
      <w:r>
        <w:rPr>
          <w:b/>
          <w:bCs/>
        </w:rPr>
        <w:t xml:space="preserve">6.4.</w:t>
      </w:r>
      <w:r>
        <w:t xml:space="preserve"> Официальная информация об изменениях в Программе публикуется на сайте </w:t>
      </w:r>
      <w:r>
        <w:rPr>
          <w:rStyle w:val="686"/>
          <w:rFonts w:ascii="Times New Roman" w:hAnsi="Times New Roman" w:cs="Times New Roman" w:eastAsiaTheme="majorEastAsia"/>
          <w:sz w:val="24"/>
          <w:szCs w:val="24"/>
        </w:rPr>
        <w:t xml:space="preserve">[</w:t>
      </w:r>
      <w:r>
        <w:rPr>
          <w:rStyle w:val="686"/>
          <w:rFonts w:ascii="Times New Roman" w:hAnsi="Times New Roman" w:cs="Times New Roman" w:eastAsiaTheme="majorEastAsia"/>
          <w:sz w:val="24"/>
          <w:szCs w:val="24"/>
        </w:rPr>
        <w:t xml:space="preserve">https://zodchiy.org](</w:t>
      </w:r>
      <w:r>
        <w:rPr>
          <w:rStyle w:val="686"/>
          <w:rFonts w:ascii="Times New Roman" w:hAnsi="Times New Roman" w:cs="Times New Roman" w:eastAsiaTheme="majorEastAsia"/>
          <w:sz w:val="24"/>
          <w:szCs w:val="24"/>
        </w:rPr>
        <w:t xml:space="preserve">https://zodchiy.org)</w:t>
      </w:r>
      <w:r>
        <w:t xml:space="preserve">.</w:t>
      </w:r>
      <w:r/>
    </w:p>
    <w:p>
      <w:pPr>
        <w:pStyle w:val="675"/>
        <w:rPr>
          <w:sz w:val="24"/>
          <w:szCs w:val="24"/>
        </w:rPr>
      </w:pPr>
      <w:r>
        <w:rPr>
          <w:sz w:val="24"/>
          <w:szCs w:val="24"/>
        </w:rPr>
        <w:t xml:space="preserve">7. Права, обязанности и ответственность сторон</w:t>
      </w:r>
      <w:r>
        <w:rPr>
          <w:sz w:val="24"/>
          <w:szCs w:val="24"/>
        </w:rPr>
      </w:r>
    </w:p>
    <w:p>
      <w:pPr>
        <w:pStyle w:val="685"/>
      </w:pPr>
      <w:r>
        <w:rPr>
          <w:b/>
          <w:bCs/>
        </w:rPr>
        <w:t xml:space="preserve">7.1.</w:t>
      </w:r>
      <w:r>
        <w:t xml:space="preserve"> Для прекращения участия в Программе, блокировки Карты или отзыва согласия на обработку персональных данных Участник обращается на стойку информации в магазинах «Зодчий» либо направляет официальное обращение в Единый контакт-центр.</w:t>
      </w:r>
      <w:r/>
    </w:p>
    <w:p>
      <w:pPr>
        <w:pStyle w:val="685"/>
      </w:pPr>
      <w:r>
        <w:rPr>
          <w:b/>
          <w:bCs/>
        </w:rPr>
        <w:t xml:space="preserve">7.2.</w:t>
      </w:r>
      <w:r>
        <w:t xml:space="preserve"> Организатор не несет ответственности за несанкционированное использование Карты или списание баллов, произошедшие в результате передачи Участником номера телефона/Карты третьим лицам либо вследствие небрежного хранения данных самим Участником.</w:t>
      </w:r>
      <w:r/>
    </w:p>
    <w:p>
      <w:pPr>
        <w:pStyle w:val="685"/>
      </w:pPr>
      <w:r>
        <w:rPr>
          <w:b/>
          <w:bCs/>
        </w:rPr>
        <w:t xml:space="preserve">7.3.</w:t>
      </w:r>
      <w:r>
        <w:t xml:space="preserve"> Организатор имеет право приостановить действие Карты и бонусного счета в случае выявления признаков недобросовестного поведения исключительно в порядке, предусмотренном п. 7.10 настоящих Правил.</w:t>
      </w:r>
      <w:r/>
    </w:p>
    <w:p>
      <w:pPr>
        <w:pStyle w:val="685"/>
      </w:pPr>
      <w:r>
        <w:rPr>
          <w:b/>
          <w:bCs/>
        </w:rPr>
        <w:t xml:space="preserve">7.4.</w:t>
      </w:r>
      <w:r>
        <w:t xml:space="preserve"> Организатор вправе в любой момент прекратить действие Программы в целом, разместив уведомление за 1 (один) месяц до даты прекращения на сайте </w:t>
      </w:r>
      <w:r>
        <w:rPr>
          <w:rStyle w:val="686"/>
          <w:rFonts w:ascii="Times New Roman" w:hAnsi="Times New Roman" w:cs="Times New Roman" w:eastAsiaTheme="majorEastAsia"/>
          <w:sz w:val="24"/>
          <w:szCs w:val="24"/>
        </w:rPr>
        <w:t xml:space="preserve">[</w:t>
      </w:r>
      <w:r>
        <w:rPr>
          <w:rStyle w:val="686"/>
          <w:rFonts w:ascii="Times New Roman" w:hAnsi="Times New Roman" w:cs="Times New Roman" w:eastAsiaTheme="majorEastAsia"/>
          <w:sz w:val="24"/>
          <w:szCs w:val="24"/>
        </w:rPr>
        <w:t xml:space="preserve">https://zodchiy.org](</w:t>
      </w:r>
      <w:r>
        <w:rPr>
          <w:rStyle w:val="686"/>
          <w:rFonts w:ascii="Times New Roman" w:hAnsi="Times New Roman" w:cs="Times New Roman" w:eastAsiaTheme="majorEastAsia"/>
          <w:sz w:val="24"/>
          <w:szCs w:val="24"/>
        </w:rPr>
        <w:t xml:space="preserve">https://zodchiy.org)</w:t>
      </w:r>
      <w:r>
        <w:t xml:space="preserve"> и в торговых залах магазинов сети.</w:t>
      </w:r>
      <w:r/>
    </w:p>
    <w:p>
      <w:pPr>
        <w:pStyle w:val="685"/>
      </w:pPr>
      <w:r>
        <w:rPr>
          <w:b/>
          <w:bCs/>
        </w:rPr>
        <w:t xml:space="preserve">7.5.</w:t>
      </w:r>
      <w:r>
        <w:t xml:space="preserve"> Организатор оставляет за собой право в одностороннем порядке вносить изменения в настоящие Правила. Изменения вступают в силу по истечении 14 (четырнадцати) календарных дней с момента их опубликования на официальном сайте </w:t>
      </w:r>
      <w:r>
        <w:rPr>
          <w:rStyle w:val="686"/>
          <w:rFonts w:ascii="Times New Roman" w:hAnsi="Times New Roman" w:cs="Times New Roman" w:eastAsiaTheme="majorEastAsia"/>
          <w:sz w:val="24"/>
          <w:szCs w:val="24"/>
        </w:rPr>
        <w:t xml:space="preserve">[</w:t>
      </w:r>
      <w:r>
        <w:rPr>
          <w:rStyle w:val="686"/>
          <w:rFonts w:ascii="Times New Roman" w:hAnsi="Times New Roman" w:cs="Times New Roman" w:eastAsiaTheme="majorEastAsia"/>
          <w:sz w:val="24"/>
          <w:szCs w:val="24"/>
        </w:rPr>
        <w:t xml:space="preserve">https://zodchiy.org](</w:t>
      </w:r>
      <w:r>
        <w:rPr>
          <w:rStyle w:val="686"/>
          <w:rFonts w:ascii="Times New Roman" w:hAnsi="Times New Roman" w:cs="Times New Roman" w:eastAsiaTheme="majorEastAsia"/>
          <w:sz w:val="24"/>
          <w:szCs w:val="24"/>
        </w:rPr>
        <w:t xml:space="preserve">https://zodchiy.org)</w:t>
      </w:r>
      <w:r>
        <w:t xml:space="preserve">, если иной срок прямо не указан в тексте вводимых изменений. Участник обязуется самостоятельно знакомиться с действующей редакцией Правил на сайте.</w:t>
      </w:r>
      <w:r/>
    </w:p>
    <w:p>
      <w:pPr>
        <w:pStyle w:val="685"/>
      </w:pPr>
      <w:r>
        <w:t xml:space="preserve">Изменения, ухудшающие условия участия (снижение процента начисления, сокращение срока действия баллов), не имеют обратной силы и не применяются к баллам за покупки, совершенные до даты вступления таких изменений в силу.</w:t>
      </w:r>
      <w:r/>
    </w:p>
    <w:p>
      <w:pPr>
        <w:pStyle w:val="685"/>
      </w:pPr>
      <w:r>
        <w:rPr>
          <w:b/>
          <w:bCs/>
        </w:rPr>
        <w:t xml:space="preserve">7.6.</w:t>
      </w:r>
      <w:r>
        <w:t xml:space="preserve"> По техническим причинам (сбои каналов связи, перебои в электросети, аварии кассового или серверного оборудования) Организатор вправе временно отложить выполнение операций по Карте до устранения неполадок.</w:t>
      </w:r>
      <w:r/>
    </w:p>
    <w:p>
      <w:pPr>
        <w:pStyle w:val="685"/>
        <w:rPr>
          <w:b/>
          <w:bCs/>
        </w:rPr>
      </w:pPr>
      <w:r>
        <w:rPr>
          <w:b/>
          <w:bCs/>
        </w:rPr>
        <w:t xml:space="preserve">7.7.</w:t>
      </w:r>
      <w:r>
        <w:t xml:space="preserve"> Документом, подтверждающим факт совершения покупки и основанием для рассмотрения обращений о корректности начисления Бонусных баллов, является кассовый чек (на бумажном носителе либо в электронной форме в соответствии с Федеральн</w:t>
      </w:r>
      <w:r>
        <w:t xml:space="preserve">ым законом № 54-ФЗ) с указанием информации о покупке и номере примененной Карты, либо иные документы и сведения, достоверно подтверждающие факт и дату оплаты товара в Магазинах Организатора (в том числе банковская выписка). В случае если Карта не была пред</w:t>
      </w:r>
      <w:r>
        <w:t xml:space="preserve">ъявлена/названа на кассе в момент совершения покупки, Организатор вправе провести начисление баллов на основании письменного заявления Участника и подтверждающих документов при условии обращения не позднее 14 (четырнадцати) календарных дней с даты покупки.</w:t>
      </w:r>
      <w:r>
        <w:rPr>
          <w:b/>
          <w:bCs/>
        </w:rPr>
        <w:t xml:space="preserve">»</w:t>
      </w:r>
      <w:r>
        <w:rPr>
          <w:b/>
          <w:bCs/>
        </w:rPr>
        <w:br/>
      </w:r>
      <w:r>
        <w:rPr>
          <w:b/>
          <w:bCs/>
        </w:rPr>
      </w:r>
    </w:p>
    <w:p>
      <w:pPr>
        <w:pStyle w:val="685"/>
      </w:pPr>
      <w:r>
        <w:rPr>
          <w:b/>
          <w:bCs/>
        </w:rPr>
        <w:t xml:space="preserve">7.8.</w:t>
      </w:r>
      <w:r>
        <w:t xml:space="preserve"> Бонусные баллы, начисленные вследствие явной технической ошибки и</w:t>
      </w:r>
      <w:r>
        <w:t xml:space="preserve">ли программного сбоя, подлежат списанию Организатором без предварительного согласия Участника. Об аннулировании ошибочно начисленных баллов Организатор уведомляет Участника по контактным данным из Анкеты в течение 2 (двух) рабочих дней с указанием причины.</w:t>
      </w:r>
      <w:r/>
    </w:p>
    <w:p>
      <w:pPr>
        <w:pStyle w:val="685"/>
      </w:pPr>
      <w:r>
        <w:rPr>
          <w:b/>
          <w:bCs/>
        </w:rPr>
        <w:t xml:space="preserve">7.9.</w:t>
      </w:r>
      <w:r>
        <w:t xml:space="preserve"> Организатор вправе проводить временные стимулирующие акции по восстановлению ранее сгоревших Бонусных баллов.</w:t>
      </w:r>
      <w:r/>
    </w:p>
    <w:p>
      <w:pPr>
        <w:pStyle w:val="685"/>
      </w:pPr>
      <w:r>
        <w:rPr>
          <w:b/>
          <w:bCs/>
        </w:rPr>
        <w:t xml:space="preserve">7.10. </w:t>
      </w:r>
      <w:r>
        <w:t xml:space="preserve">Порядок блокировки и аннулирования Карты при нарушениях: </w:t>
      </w:r>
      <w:r>
        <w:br/>
      </w:r>
      <w:r>
        <w:t xml:space="preserve">Организатор вправе временно приостановить обслуживание Карты и бонусного счета при наличии обоснованных подозрений в мошеннических действиях или недобросовестном использовании Карты. К таким действиям, в частности, относятся, но не ограничиваются ими:</w:t>
      </w:r>
      <w:r/>
    </w:p>
    <w:p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использование Карты для покупок в предпринимательских целях (аномально высокая частота покупок, оптовые объемы);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использование одной Карты несколькими лицами для аккумулирования баллов;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проведение Карты сотрудниками Организатора при оплате товаров третьими лицами на кассе;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использование стороннего программного обеспечения для накрутки баллов.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 выявлении указанных признаков Организатор направляет Участнику уведомление с указанием пр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ичин и предоставляет не менее 14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четырнадцати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 календарных дней для дачи пояснений. По истечении указанного срока Организатор принимает решение: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восстановить обслуживание в полном объеме (если нарушения не подтвердились);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аннулировать Карту и бонусный счет в случае подтверждения грубого нарушения, повлекшего причинение ущерба Организатору или иным Участникам. Об аннулировании Участник извещается в письменной форме с изложением оснований.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685"/>
      </w:pPr>
      <w:r>
        <w:rPr>
          <w:b/>
          <w:bCs/>
        </w:rPr>
        <w:t xml:space="preserve">7.11.</w:t>
      </w:r>
      <w:r>
        <w:t xml:space="preserve"> В случае использования Карты с нарушением настоящих Правил или законодательства РФ сотрудники розничных магазинов Организатора вправе отказать в авторизации и заблокировать применение Карты на кассе до выяснения обстоятельств.</w:t>
      </w:r>
      <w:r/>
    </w:p>
    <w:p>
      <w:pPr>
        <w:pStyle w:val="685"/>
      </w:pPr>
      <w:r>
        <w:rPr>
          <w:b/>
          <w:bCs/>
        </w:rPr>
        <w:t xml:space="preserve">7.12.</w:t>
      </w:r>
      <w:r>
        <w:t xml:space="preserve"> </w:t>
      </w:r>
      <w:r>
        <w:t xml:space="preserve">Программа предназначена исключительно для физических лиц, приобретающих товары для личных, семейных, домашних и иных нужд, не связанных с осуществлением </w:t>
      </w:r>
      <w:r>
        <w:t xml:space="preserve">предп</w:t>
      </w:r>
      <w:r>
        <w:t xml:space="preserve">ринимательской деятельности. Карта не может применяться при совершении покупок индивидуальными предпринимателями и представителями юридических лиц по безналичному расчету, а также в случаях оформления первичных учетных документов (товарных накладных, УПД).</w:t>
      </w:r>
      <w:r/>
    </w:p>
    <w:p>
      <w:pPr>
        <w:pStyle w:val="685"/>
      </w:pPr>
      <w:r>
        <w:rPr>
          <w:b/>
          <w:bCs/>
        </w:rPr>
        <w:t xml:space="preserve">7.13.</w:t>
      </w:r>
      <w:r>
        <w:t xml:space="preserve"> На одно физическое лицо может быть оформлена только одна Карта. При обнаружении дублирующих учетных записей Организатор вправе объединить балансы баллов на основном подтвержденном номере либо заблокировать дубликаты.</w:t>
      </w:r>
      <w:r/>
    </w:p>
    <w:p>
      <w:pPr>
        <w:pStyle w:val="685"/>
      </w:pPr>
      <w:r>
        <w:rPr>
          <w:b/>
          <w:bCs/>
        </w:rPr>
        <w:t xml:space="preserve">7.14.</w:t>
      </w:r>
      <w:r>
        <w:t xml:space="preserve"> В случае утраты пластиковой Карты Участник вправе обратиться на стойку информации розничного магазина для выдачи новой Карты и привязки ее к существующему бонусному счету при предъявлении документа, удостоверяющего личность, и совпадении анкетных данных.</w:t>
      </w:r>
      <w:r/>
    </w:p>
    <w:p>
      <w:pPr>
        <w:pStyle w:val="685"/>
      </w:pPr>
      <w:r>
        <w:rPr>
          <w:b/>
          <w:bCs/>
        </w:rPr>
        <w:t xml:space="preserve">7.15.</w:t>
      </w:r>
      <w:r>
        <w:t xml:space="preserve"> При возникновении разночтений преимущественную силу имеют положения п. 4.3, 5.2 и 5.4 настоящих Правил. Орг</w:t>
      </w:r>
      <w:r>
        <w:t xml:space="preserve">анизатор обеспечивает работу кассового программного обеспечения в строгом соответствии с данными условиями, включая техническое ограничение разового списания до 30% от текущего объема активных баллов и запрет на проведение баллов по товарам с маркировкой «</w:t>
      </w:r>
      <w:r>
        <w:t xml:space="preserve">Фиксированная цена</w:t>
      </w:r>
      <w:r>
        <w:t xml:space="preserve">».</w:t>
      </w:r>
      <w:r/>
    </w:p>
    <w:p>
      <w:pPr>
        <w:pStyle w:val="675"/>
        <w:rPr>
          <w:sz w:val="24"/>
          <w:szCs w:val="24"/>
        </w:rPr>
      </w:pPr>
      <w:r>
        <w:rPr>
          <w:sz w:val="24"/>
          <w:szCs w:val="24"/>
        </w:rPr>
        <w:t xml:space="preserve">8. Заключительные положения</w:t>
      </w:r>
      <w:bookmarkStart w:id="0" w:name="_GoBack"/>
      <w:r/>
      <w:bookmarkEnd w:id="0"/>
      <w:r/>
      <w:r>
        <w:rPr>
          <w:sz w:val="24"/>
          <w:szCs w:val="24"/>
        </w:rPr>
      </w:r>
    </w:p>
    <w:p>
      <w:pPr>
        <w:pStyle w:val="685"/>
      </w:pPr>
      <w:r>
        <w:rPr>
          <w:b/>
          <w:bCs/>
        </w:rPr>
        <w:t xml:space="preserve">8.1.</w:t>
      </w:r>
      <w:r>
        <w:t xml:space="preserve"> Настоящая редакция Правил утверждена, размещена на официальном сайте </w:t>
      </w:r>
      <w:r>
        <w:rPr>
          <w:rStyle w:val="686"/>
          <w:rFonts w:ascii="Times New Roman" w:hAnsi="Times New Roman" w:cs="Times New Roman" w:eastAsiaTheme="majorEastAsia"/>
          <w:sz w:val="24"/>
          <w:szCs w:val="24"/>
        </w:rPr>
        <w:t xml:space="preserve">[</w:t>
      </w:r>
      <w:r>
        <w:rPr>
          <w:rStyle w:val="686"/>
          <w:rFonts w:ascii="Times New Roman" w:hAnsi="Times New Roman" w:cs="Times New Roman" w:eastAsiaTheme="majorEastAsia"/>
          <w:sz w:val="24"/>
          <w:szCs w:val="24"/>
        </w:rPr>
        <w:t xml:space="preserve">https://zodchiy.org](</w:t>
      </w:r>
      <w:r>
        <w:rPr>
          <w:rStyle w:val="686"/>
          <w:rFonts w:ascii="Times New Roman" w:hAnsi="Times New Roman" w:cs="Times New Roman" w:eastAsiaTheme="majorEastAsia"/>
          <w:sz w:val="24"/>
          <w:szCs w:val="24"/>
        </w:rPr>
        <w:t xml:space="preserve">https://zodchiy.org)</w:t>
      </w:r>
      <w:r>
        <w:t xml:space="preserve"> и вступает в законную силу </w:t>
      </w:r>
      <w:r>
        <w:rPr>
          <w:b/>
          <w:bCs/>
        </w:rPr>
        <w:t xml:space="preserve">«01» сентября 2026 года</w:t>
      </w:r>
      <w:r>
        <w:t xml:space="preserve">.</w:t>
      </w:r>
      <w:r/>
    </w:p>
    <w:p>
      <w:pPr>
        <w:pStyle w:val="685"/>
      </w:pPr>
      <w:r>
        <w:rPr>
          <w:b/>
          <w:bCs/>
        </w:rPr>
        <w:t xml:space="preserve">8.2.</w:t>
      </w:r>
      <w:r>
        <w:t xml:space="preserve"> Официальный текст настоящих Правил размещен в открытом доступе в сети Интернет по адресу: </w:t>
      </w:r>
      <w:hyperlink r:id="rId10" w:tooltip="https://zodchiy.org" w:history="1">
        <w:r>
          <w:rPr>
            <w:rStyle w:val="683"/>
            <w:rFonts w:eastAsiaTheme="majorEastAsia"/>
          </w:rPr>
          <w:t xml:space="preserve">https://zodchiy.org</w:t>
        </w:r>
      </w:hyperlink>
      <w:r>
        <w:rPr>
          <w:rStyle w:val="686"/>
          <w:rFonts w:ascii="Times New Roman" w:hAnsi="Times New Roman" w:cs="Times New Roman" w:eastAsiaTheme="majorEastAsia"/>
          <w:sz w:val="24"/>
          <w:szCs w:val="24"/>
        </w:rPr>
        <w:t xml:space="preserve"> с </w:t>
      </w:r>
      <w:r>
        <w:rPr>
          <w:b/>
          <w:bCs/>
        </w:rPr>
        <w:t xml:space="preserve">01 сентября 2026 года</w:t>
      </w:r>
      <w:r>
        <w:t xml:space="preserve">.</w:t>
      </w:r>
      <w:r/>
    </w:p>
    <w:p>
      <w:pPr>
        <w:pStyle w:val="685"/>
      </w:pPr>
      <w:r>
        <w:rPr>
          <w:b/>
          <w:bCs/>
        </w:rPr>
        <w:t xml:space="preserve">8.3.</w:t>
      </w:r>
      <w:r>
        <w:t xml:space="preserve"> Все ранее действовавшие редакции Правил признаются утратившими силу с </w:t>
      </w:r>
      <w:r>
        <w:rPr>
          <w:b/>
          <w:bCs/>
        </w:rPr>
        <w:t xml:space="preserve">01 сентября 2026 года</w:t>
      </w:r>
      <w:r>
        <w:t xml:space="preserve">, за исключением обязательств, возникших до указанной даты. Условия настоящей редакции, ухудшающие положение Участников по сравнению с предшествующими редакциями, не применяются к покупкам, совершенным до 01 сентября 2026 года.</w:t>
      </w:r>
      <w:r/>
    </w:p>
    <w:p>
      <w:pPr>
        <w:spacing w:before="480" w:after="240" w:line="480" w:lineRule="atLeast"/>
        <w:shd w:val="clear" w:color="auto" w:fill="ffffff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 xml:space="preserve">ЛИСТ СОГЛАСОВАНИЯ И УТВЕРЖДЕНИЯ</w:t>
      </w: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r>
    </w:p>
    <w:tbl>
      <w:tblPr>
        <w:tblW w:w="9639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4548"/>
        <w:gridCol w:w="1876"/>
        <w:gridCol w:w="1440"/>
        <w:gridCol w:w="1775"/>
      </w:tblGrid>
      <w:tr>
        <w:tblPrEx/>
        <w:trPr>
          <w:tblHeader/>
        </w:trPr>
        <w:tc>
          <w:tcPr>
            <w:tcBorders>
              <w:top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Должность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Фамилия И.О.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1775" w:type="dxa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Разработал: Руководитель отдела маркетинга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1775" w:type="dxa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.08.2026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Согласовано: Заместитель директора по коммерческим вопросам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1775" w:type="dxa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31.08.2026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Согласовано: Руководитель коммерческого отдела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1775" w:type="dxa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31.08.2026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Согласовано: Финансовый директор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1775" w:type="dxa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31.08.2026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Согласовано: Юрисконсульт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1775" w:type="dxa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31.08.2026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Согласовано: Руководитель отдела АСУ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1775" w:type="dxa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31.08.2026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13"/>
        </w:trPr>
        <w:tc>
          <w:tcPr>
            <w:tcMar>
              <w:left w:w="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Утверждено: Генеральный директор ООО «ТД ЗОДЧИЙ»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240" w:type="dxa"/>
              <w:bottom w:w="1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Mar>
              <w:left w:w="240" w:type="dxa"/>
              <w:top w:w="150" w:type="dxa"/>
              <w:right w:w="0" w:type="dxa"/>
              <w:bottom w:w="150" w:type="dxa"/>
            </w:tcMar>
            <w:tcW w:w="1775" w:type="dxa"/>
            <w:vAlign w:val="center"/>
            <w:textDirection w:val="lrTb"/>
            <w:noWrap w:val="false"/>
          </w:tcPr>
          <w:p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01.09.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spacing w:before="240" w:after="240" w:line="240" w:lineRule="auto"/>
        <w:shd w:val="clear" w:color="auto" w:fill="ffffff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 xml:space="preserve">М.П.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r>
    </w:p>
    <w:p>
      <w:r/>
      <w:r/>
    </w:p>
    <w:sectPr>
      <w:footnotePr/>
      <w:endnotePr/>
      <w:type w:val="nextPage"/>
      <w:pgSz w:w="11906" w:h="16838" w:orient="portrait"/>
      <w:pgMar w:top="709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15"/>
  </w:num>
  <w:num w:numId="2">
    <w:abstractNumId w:val="14"/>
  </w:num>
  <w:num w:numId="3">
    <w:abstractNumId w:val="2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6"/>
  </w:num>
  <w:num w:numId="9">
    <w:abstractNumId w:val="13"/>
  </w:num>
  <w:num w:numId="10">
    <w:abstractNumId w:val="17"/>
  </w:num>
  <w:num w:numId="11">
    <w:abstractNumId w:val="2"/>
  </w:num>
  <w:num w:numId="12">
    <w:abstractNumId w:val="20"/>
  </w:num>
  <w:num w:numId="13">
    <w:abstractNumId w:val="9"/>
  </w:num>
  <w:num w:numId="14">
    <w:abstractNumId w:val="19"/>
  </w:num>
  <w:num w:numId="15">
    <w:abstractNumId w:val="3"/>
  </w:num>
  <w:num w:numId="16">
    <w:abstractNumId w:val="22"/>
  </w:num>
  <w:num w:numId="17">
    <w:abstractNumId w:val="0"/>
  </w:num>
  <w:num w:numId="18">
    <w:abstractNumId w:val="25"/>
  </w:num>
  <w:num w:numId="19">
    <w:abstractNumId w:val="26"/>
  </w:num>
  <w:num w:numId="20">
    <w:abstractNumId w:val="24"/>
  </w:num>
  <w:num w:numId="21">
    <w:abstractNumId w:val="8"/>
  </w:num>
  <w:num w:numId="22">
    <w:abstractNumId w:val="21"/>
  </w:num>
  <w:num w:numId="23">
    <w:abstractNumId w:val="5"/>
  </w:num>
  <w:num w:numId="24">
    <w:abstractNumId w:val="18"/>
  </w:num>
  <w:num w:numId="25">
    <w:abstractNumId w:val="7"/>
  </w:num>
  <w:num w:numId="26">
    <w:abstractNumId w:val="11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76"/>
    <w:link w:val="67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76"/>
    <w:link w:val="674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76"/>
    <w:link w:val="67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72"/>
    <w:next w:val="67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76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72"/>
    <w:next w:val="67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76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72"/>
    <w:next w:val="67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76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72"/>
    <w:next w:val="67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76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72"/>
    <w:next w:val="67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76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72"/>
    <w:next w:val="67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76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72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72"/>
    <w:next w:val="67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76"/>
    <w:link w:val="35"/>
    <w:uiPriority w:val="10"/>
    <w:rPr>
      <w:sz w:val="48"/>
      <w:szCs w:val="48"/>
    </w:rPr>
  </w:style>
  <w:style w:type="paragraph" w:styleId="37">
    <w:name w:val="Subtitle"/>
    <w:basedOn w:val="672"/>
    <w:next w:val="67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76"/>
    <w:link w:val="37"/>
    <w:uiPriority w:val="11"/>
    <w:rPr>
      <w:sz w:val="24"/>
      <w:szCs w:val="24"/>
    </w:rPr>
  </w:style>
  <w:style w:type="paragraph" w:styleId="39">
    <w:name w:val="Quote"/>
    <w:basedOn w:val="672"/>
    <w:next w:val="67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72"/>
    <w:next w:val="67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7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76"/>
    <w:link w:val="43"/>
    <w:uiPriority w:val="99"/>
  </w:style>
  <w:style w:type="paragraph" w:styleId="45">
    <w:name w:val="Footer"/>
    <w:basedOn w:val="67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76"/>
    <w:link w:val="45"/>
    <w:uiPriority w:val="99"/>
  </w:style>
  <w:style w:type="paragraph" w:styleId="47">
    <w:name w:val="Caption"/>
    <w:basedOn w:val="672"/>
    <w:next w:val="67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76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7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7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76"/>
    <w:uiPriority w:val="99"/>
    <w:unhideWhenUsed/>
    <w:rPr>
      <w:vertAlign w:val="superscript"/>
    </w:rPr>
  </w:style>
  <w:style w:type="paragraph" w:styleId="179">
    <w:name w:val="endnote text"/>
    <w:basedOn w:val="67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76"/>
    <w:uiPriority w:val="99"/>
    <w:semiHidden/>
    <w:unhideWhenUsed/>
    <w:rPr>
      <w:vertAlign w:val="superscript"/>
    </w:rPr>
  </w:style>
  <w:style w:type="paragraph" w:styleId="182">
    <w:name w:val="toc 1"/>
    <w:basedOn w:val="672"/>
    <w:next w:val="67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72"/>
    <w:next w:val="67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72"/>
    <w:next w:val="67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72"/>
    <w:next w:val="67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72"/>
    <w:next w:val="67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72"/>
    <w:next w:val="67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72"/>
    <w:next w:val="67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72"/>
    <w:next w:val="67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72"/>
    <w:next w:val="67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72"/>
    <w:next w:val="672"/>
    <w:uiPriority w:val="99"/>
    <w:unhideWhenUsed/>
    <w:pPr>
      <w:spacing w:after="0" w:afterAutospacing="0"/>
    </w:pPr>
  </w:style>
  <w:style w:type="paragraph" w:styleId="672" w:default="1">
    <w:name w:val="Normal"/>
    <w:qFormat/>
  </w:style>
  <w:style w:type="paragraph" w:styleId="673">
    <w:name w:val="Heading 1"/>
    <w:basedOn w:val="672"/>
    <w:next w:val="672"/>
    <w:link w:val="684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674">
    <w:name w:val="Heading 2"/>
    <w:basedOn w:val="672"/>
    <w:link w:val="679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675">
    <w:name w:val="Heading 3"/>
    <w:basedOn w:val="672"/>
    <w:link w:val="68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676" w:default="1">
    <w:name w:val="Default Paragraph Font"/>
    <w:uiPriority w:val="1"/>
    <w:semiHidden/>
    <w:unhideWhenUsed/>
  </w:style>
  <w:style w:type="table" w:styleId="67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8" w:default="1">
    <w:name w:val="No List"/>
    <w:uiPriority w:val="99"/>
    <w:semiHidden/>
    <w:unhideWhenUsed/>
  </w:style>
  <w:style w:type="character" w:styleId="679" w:customStyle="1">
    <w:name w:val="Заголовок 2 Знак"/>
    <w:basedOn w:val="676"/>
    <w:link w:val="674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680" w:customStyle="1">
    <w:name w:val="Заголовок 3 Знак"/>
    <w:basedOn w:val="676"/>
    <w:link w:val="675"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681" w:customStyle="1">
    <w:name w:val="ds-markdown-paragraph"/>
    <w:basedOn w:val="67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82">
    <w:name w:val="Strong"/>
    <w:basedOn w:val="676"/>
    <w:uiPriority w:val="22"/>
    <w:qFormat/>
    <w:rPr>
      <w:b/>
      <w:bCs/>
    </w:rPr>
  </w:style>
  <w:style w:type="character" w:styleId="683">
    <w:name w:val="Hyperlink"/>
    <w:basedOn w:val="676"/>
    <w:uiPriority w:val="99"/>
    <w:unhideWhenUsed/>
    <w:rPr>
      <w:color w:val="0000ff"/>
      <w:u w:val="single"/>
    </w:rPr>
  </w:style>
  <w:style w:type="character" w:styleId="684" w:customStyle="1">
    <w:name w:val="Заголовок 1 Знак"/>
    <w:basedOn w:val="676"/>
    <w:link w:val="67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685">
    <w:name w:val="Normal (Web)"/>
    <w:basedOn w:val="67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86">
    <w:name w:val="HTML Code"/>
    <w:basedOn w:val="676"/>
    <w:uiPriority w:val="99"/>
    <w:semiHidden/>
    <w:unhideWhenUsed/>
    <w:rPr>
      <w:rFonts w:ascii="Courier New" w:hAnsi="Courier New" w:eastAsia="Times New Roman" w:cs="Courier New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ruk_marketing@zodchiy.org" TargetMode="External"/><Relationship Id="rId10" Type="http://schemas.openxmlformats.org/officeDocument/2006/relationships/hyperlink" Target="https://zodchiy.or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 отдела маркетинга</dc:creator>
  <cp:keywords/>
  <dc:description/>
  <cp:lastModifiedBy>Дмитрий Шелюта</cp:lastModifiedBy>
  <cp:revision>9</cp:revision>
  <dcterms:created xsi:type="dcterms:W3CDTF">2026-09-02T23:55:00Z</dcterms:created>
  <dcterms:modified xsi:type="dcterms:W3CDTF">2026-09-24T00:16:25Z</dcterms:modified>
</cp:coreProperties>
</file>